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BD3" w:rsidRDefault="00BD5BD3" w:rsidP="00E377FC">
      <w:pPr>
        <w:shd w:val="clear" w:color="auto" w:fill="FFFFFF"/>
        <w:spacing w:after="0" w:line="240" w:lineRule="auto"/>
        <w:ind w:left="2124" w:right="69"/>
        <w:jc w:val="right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BD5BD3" w:rsidRDefault="00BD5BD3" w:rsidP="00E377FC">
      <w:pPr>
        <w:shd w:val="clear" w:color="auto" w:fill="FFFFFF"/>
        <w:spacing w:after="0" w:line="240" w:lineRule="auto"/>
        <w:ind w:left="2124" w:right="69"/>
        <w:jc w:val="right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BD5BD3" w:rsidRDefault="00BD5BD3" w:rsidP="00E377FC">
      <w:pPr>
        <w:shd w:val="clear" w:color="auto" w:fill="FFFFFF"/>
        <w:spacing w:after="0" w:line="240" w:lineRule="auto"/>
        <w:ind w:left="2124" w:right="69"/>
        <w:jc w:val="right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BD5BD3" w:rsidRDefault="00BD5BD3" w:rsidP="00E377FC">
      <w:pPr>
        <w:shd w:val="clear" w:color="auto" w:fill="FFFFFF"/>
        <w:spacing w:after="0" w:line="240" w:lineRule="auto"/>
        <w:ind w:left="2124" w:right="69"/>
        <w:jc w:val="right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BD5BD3" w:rsidRDefault="00BD5BD3" w:rsidP="00E377FC">
      <w:pPr>
        <w:shd w:val="clear" w:color="auto" w:fill="FFFFFF"/>
        <w:spacing w:after="0" w:line="240" w:lineRule="auto"/>
        <w:ind w:left="2124" w:right="69"/>
        <w:jc w:val="right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BD5BD3" w:rsidRDefault="00BD5BD3" w:rsidP="00E377FC">
      <w:pPr>
        <w:shd w:val="clear" w:color="auto" w:fill="FFFFFF"/>
        <w:spacing w:after="0" w:line="240" w:lineRule="auto"/>
        <w:ind w:left="2124" w:right="69"/>
        <w:jc w:val="right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E377FC" w:rsidRPr="00DC134A" w:rsidRDefault="00E377FC" w:rsidP="00E377FC">
      <w:pPr>
        <w:shd w:val="clear" w:color="auto" w:fill="FFFFFF"/>
        <w:spacing w:after="0" w:line="240" w:lineRule="auto"/>
        <w:ind w:left="2124" w:right="69"/>
        <w:jc w:val="right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DC134A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                                                </w:t>
      </w:r>
    </w:p>
    <w:p w:rsidR="00E377FC" w:rsidRPr="0064494F" w:rsidRDefault="00E377FC" w:rsidP="00E377FC">
      <w:pPr>
        <w:shd w:val="clear" w:color="auto" w:fill="FFFFFF"/>
        <w:spacing w:after="0" w:line="240" w:lineRule="auto"/>
        <w:ind w:left="2124" w:right="69"/>
        <w:jc w:val="both"/>
        <w:rPr>
          <w:rFonts w:ascii="Times New Roman" w:eastAsia="Times New Roman" w:hAnsi="Times New Roman" w:cs="Times New Roman"/>
          <w:bCs/>
          <w:color w:val="1A3337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A3337"/>
          <w:sz w:val="28"/>
          <w:lang w:eastAsia="ru-RU"/>
        </w:rPr>
        <w:t xml:space="preserve">             </w:t>
      </w:r>
    </w:p>
    <w:p w:rsidR="00A325F4" w:rsidRDefault="00A325F4" w:rsidP="00A32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A325F4" w:rsidRPr="009065E4" w:rsidRDefault="00A325F4" w:rsidP="00A325F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5E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57B77" w:rsidRDefault="00A325F4" w:rsidP="00A325F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Pr="009065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DAA">
        <w:rPr>
          <w:rFonts w:ascii="Times New Roman" w:hAnsi="Times New Roman" w:cs="Times New Roman"/>
          <w:b/>
          <w:sz w:val="28"/>
          <w:szCs w:val="28"/>
        </w:rPr>
        <w:t xml:space="preserve">АНАЛИЗА </w:t>
      </w:r>
      <w:r w:rsidR="00557B77">
        <w:rPr>
          <w:rFonts w:ascii="Times New Roman" w:hAnsi="Times New Roman" w:cs="Times New Roman"/>
          <w:b/>
          <w:sz w:val="28"/>
          <w:szCs w:val="28"/>
        </w:rPr>
        <w:t xml:space="preserve">КОРРУПЦИОННЫХ РИСКОВ </w:t>
      </w:r>
    </w:p>
    <w:p w:rsidR="00A325F4" w:rsidRDefault="00557B77" w:rsidP="00A325F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</w:t>
      </w:r>
      <w:r w:rsidR="00A325F4" w:rsidRPr="009065E4">
        <w:rPr>
          <w:rFonts w:ascii="Times New Roman" w:hAnsi="Times New Roman" w:cs="Times New Roman"/>
          <w:b/>
          <w:sz w:val="28"/>
          <w:szCs w:val="28"/>
        </w:rPr>
        <w:t>У РК «АРМЯНСКИЙ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ГОРОДСКОЙ ЦЕНТР СОЦИАЛЬНЫХ СЛУЖБ ДЛЯ СЕМЬИ, ДЕТЕЙ И МОЛОДЕЖИ</w:t>
      </w:r>
      <w:r w:rsidR="00A325F4" w:rsidRPr="009065E4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B3CEF" w:rsidRPr="009065E4" w:rsidRDefault="004B3CEF" w:rsidP="00A325F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5F4" w:rsidRDefault="00A325F4" w:rsidP="00A325F4">
      <w:pPr>
        <w:rPr>
          <w:rFonts w:ascii="Times New Roman" w:hAnsi="Times New Roman" w:cs="Times New Roman"/>
          <w:sz w:val="28"/>
          <w:szCs w:val="28"/>
        </w:rPr>
      </w:pPr>
    </w:p>
    <w:p w:rsidR="00A325F4" w:rsidRDefault="00A325F4" w:rsidP="00A325F4">
      <w:pPr>
        <w:spacing w:after="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</w:p>
    <w:p w:rsidR="00A325F4" w:rsidRDefault="00A325F4" w:rsidP="00A325F4">
      <w:pPr>
        <w:spacing w:after="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</w:p>
    <w:p w:rsidR="00A325F4" w:rsidRDefault="00A325F4" w:rsidP="00A325F4">
      <w:pPr>
        <w:spacing w:after="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</w:p>
    <w:p w:rsidR="00A325F4" w:rsidRDefault="00A325F4" w:rsidP="00A325F4">
      <w:pPr>
        <w:spacing w:after="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</w:p>
    <w:p w:rsidR="00A325F4" w:rsidRDefault="00A325F4" w:rsidP="00A325F4">
      <w:pPr>
        <w:spacing w:after="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</w:p>
    <w:p w:rsidR="00A325F4" w:rsidRDefault="00A325F4" w:rsidP="00A325F4">
      <w:pPr>
        <w:spacing w:after="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</w:p>
    <w:p w:rsidR="00A325F4" w:rsidRDefault="00A325F4" w:rsidP="00A325F4">
      <w:pPr>
        <w:spacing w:after="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</w:p>
    <w:p w:rsidR="00A325F4" w:rsidRDefault="00A325F4" w:rsidP="00A325F4">
      <w:pPr>
        <w:spacing w:after="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</w:p>
    <w:p w:rsidR="00A325F4" w:rsidRDefault="00A325F4" w:rsidP="00A325F4">
      <w:pPr>
        <w:spacing w:after="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</w:p>
    <w:p w:rsidR="00A325F4" w:rsidRDefault="00A325F4" w:rsidP="00A325F4">
      <w:pPr>
        <w:spacing w:after="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</w:p>
    <w:p w:rsidR="00A325F4" w:rsidRDefault="00A325F4" w:rsidP="00A325F4">
      <w:pPr>
        <w:spacing w:after="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</w:p>
    <w:p w:rsidR="00A325F4" w:rsidRDefault="00A325F4" w:rsidP="00A325F4">
      <w:pPr>
        <w:spacing w:after="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</w:p>
    <w:p w:rsidR="00A325F4" w:rsidRDefault="00A325F4" w:rsidP="00A325F4">
      <w:pPr>
        <w:spacing w:after="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</w:p>
    <w:p w:rsidR="00A325F4" w:rsidRDefault="00A325F4" w:rsidP="00A325F4">
      <w:pPr>
        <w:spacing w:after="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</w:p>
    <w:p w:rsidR="00A325F4" w:rsidRDefault="00A325F4" w:rsidP="00A325F4">
      <w:pPr>
        <w:spacing w:after="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</w:p>
    <w:p w:rsidR="004B3CEF" w:rsidRDefault="004B3CEF" w:rsidP="00A325F4">
      <w:pPr>
        <w:spacing w:after="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</w:p>
    <w:p w:rsidR="004B3CEF" w:rsidRDefault="004B3CEF" w:rsidP="00A325F4">
      <w:pPr>
        <w:spacing w:after="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</w:p>
    <w:p w:rsidR="004B3CEF" w:rsidRDefault="004B3CEF" w:rsidP="00A325F4">
      <w:pPr>
        <w:spacing w:after="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</w:p>
    <w:p w:rsidR="004B3CEF" w:rsidRDefault="004B3CEF" w:rsidP="00A325F4">
      <w:pPr>
        <w:spacing w:after="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</w:p>
    <w:p w:rsidR="004B3CEF" w:rsidRDefault="004B3CEF" w:rsidP="00A325F4">
      <w:pPr>
        <w:spacing w:after="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</w:p>
    <w:p w:rsidR="004B3CEF" w:rsidRDefault="004B3CEF" w:rsidP="00A325F4">
      <w:pPr>
        <w:spacing w:after="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</w:p>
    <w:p w:rsidR="00557B77" w:rsidRDefault="00557B77" w:rsidP="00A325F4">
      <w:pPr>
        <w:spacing w:after="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</w:p>
    <w:p w:rsidR="00557B77" w:rsidRDefault="00557B77" w:rsidP="00A325F4">
      <w:pPr>
        <w:spacing w:after="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</w:p>
    <w:p w:rsidR="00557B77" w:rsidRDefault="00557B77" w:rsidP="00A325F4">
      <w:pPr>
        <w:spacing w:after="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</w:p>
    <w:p w:rsidR="00557B77" w:rsidRDefault="00557B77" w:rsidP="00A325F4">
      <w:pPr>
        <w:spacing w:after="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</w:p>
    <w:p w:rsidR="00557B77" w:rsidRDefault="00557B77" w:rsidP="00A325F4">
      <w:pPr>
        <w:spacing w:after="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</w:p>
    <w:p w:rsidR="00A325F4" w:rsidRPr="00F658DD" w:rsidRDefault="00A325F4" w:rsidP="00A325F4">
      <w:pPr>
        <w:spacing w:after="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F658DD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Глава 1. Общие положения</w:t>
      </w:r>
    </w:p>
    <w:p w:rsidR="00A325F4" w:rsidRPr="00F658DD" w:rsidRDefault="00A325F4" w:rsidP="00A325F4">
      <w:pPr>
        <w:jc w:val="both"/>
        <w:rPr>
          <w:rFonts w:ascii="Times New Roman" w:hAnsi="Times New Roman" w:cs="Times New Roman"/>
          <w:sz w:val="24"/>
          <w:szCs w:val="24"/>
        </w:rPr>
      </w:pPr>
      <w:r w:rsidRPr="00F658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      1. </w:t>
      </w:r>
      <w:proofErr w:type="gramStart"/>
      <w:r w:rsidRPr="00F658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Настоящие Типовые правила проведения внутреннего анализа коррупционных рисков (далее – Типовые правила) разработаны в соответстви</w:t>
      </w:r>
      <w:r w:rsidRPr="00F658DD">
        <w:rPr>
          <w:rFonts w:ascii="Times New Roman" w:eastAsia="Times New Roman" w:hAnsi="Times New Roman" w:cs="Times New Roman"/>
          <w:color w:val="073A5E"/>
          <w:spacing w:val="1"/>
          <w:sz w:val="24"/>
          <w:szCs w:val="24"/>
          <w:lang w:eastAsia="ru-RU"/>
        </w:rPr>
        <w:t xml:space="preserve">и </w:t>
      </w:r>
      <w:r w:rsidRPr="00F658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статьи 6, 13.3 </w:t>
      </w:r>
      <w:r w:rsidRPr="00F658DD">
        <w:rPr>
          <w:rFonts w:ascii="Times New Roman" w:hAnsi="Times New Roman" w:cs="Times New Roman"/>
          <w:bCs/>
          <w:sz w:val="24"/>
          <w:szCs w:val="24"/>
        </w:rPr>
        <w:t xml:space="preserve">Федеральный закон от 25.12.2008 N 273-ФЗ </w:t>
      </w:r>
      <w:r w:rsidR="00F658DD" w:rsidRPr="00F658DD">
        <w:rPr>
          <w:rFonts w:ascii="Times New Roman" w:hAnsi="Times New Roman" w:cs="Times New Roman"/>
          <w:bCs/>
          <w:sz w:val="24"/>
          <w:szCs w:val="24"/>
        </w:rPr>
        <w:t>(ред. от 28.12.2017) «</w:t>
      </w:r>
      <w:r w:rsidRPr="00F658DD">
        <w:rPr>
          <w:rFonts w:ascii="Times New Roman" w:hAnsi="Times New Roman" w:cs="Times New Roman"/>
          <w:bCs/>
          <w:sz w:val="24"/>
          <w:szCs w:val="24"/>
        </w:rPr>
        <w:t>О противодействии коррупции</w:t>
      </w:r>
      <w:bookmarkStart w:id="0" w:name="dst100047"/>
      <w:bookmarkEnd w:id="0"/>
      <w:r w:rsidR="00F658DD" w:rsidRPr="00F658DD">
        <w:rPr>
          <w:rFonts w:ascii="Times New Roman" w:hAnsi="Times New Roman" w:cs="Times New Roman"/>
          <w:bCs/>
          <w:sz w:val="24"/>
          <w:szCs w:val="24"/>
        </w:rPr>
        <w:t>»</w:t>
      </w:r>
      <w:r w:rsidRPr="00F658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 определяют порядок</w:t>
      </w:r>
      <w:r w:rsidRPr="00F658DD">
        <w:rPr>
          <w:rFonts w:ascii="Times New Roman" w:hAnsi="Times New Roman" w:cs="Times New Roman"/>
          <w:sz w:val="24"/>
          <w:szCs w:val="24"/>
        </w:rPr>
        <w:t xml:space="preserve">  проведение мониторинга коррупционных рисков (далее – мониторинг коррупционных рисков) в целях определения и утверждения Перечня должностей</w:t>
      </w:r>
      <w:r w:rsidR="00F658DD" w:rsidRPr="00F658DD">
        <w:rPr>
          <w:rFonts w:ascii="Times New Roman" w:hAnsi="Times New Roman" w:cs="Times New Roman"/>
          <w:sz w:val="24"/>
          <w:szCs w:val="24"/>
        </w:rPr>
        <w:t xml:space="preserve">  ГБ</w:t>
      </w:r>
      <w:r w:rsidRPr="00F658DD">
        <w:rPr>
          <w:rFonts w:ascii="Times New Roman" w:hAnsi="Times New Roman" w:cs="Times New Roman"/>
          <w:sz w:val="24"/>
          <w:szCs w:val="24"/>
        </w:rPr>
        <w:t>У РК «</w:t>
      </w:r>
      <w:r w:rsidR="00F658DD" w:rsidRPr="00F658DD">
        <w:rPr>
          <w:rFonts w:ascii="Times New Roman" w:hAnsi="Times New Roman" w:cs="Times New Roman"/>
          <w:sz w:val="24"/>
          <w:szCs w:val="24"/>
        </w:rPr>
        <w:t>АГЦСССДМ</w:t>
      </w:r>
      <w:r w:rsidRPr="00F658DD">
        <w:rPr>
          <w:rFonts w:ascii="Times New Roman" w:hAnsi="Times New Roman" w:cs="Times New Roman"/>
          <w:sz w:val="24"/>
          <w:szCs w:val="24"/>
        </w:rPr>
        <w:t>» (далее – Центр), замещение которых связано с коррупционными рисками (далее – коррупционные</w:t>
      </w:r>
      <w:proofErr w:type="gramEnd"/>
      <w:r w:rsidRPr="00F658DD">
        <w:rPr>
          <w:rFonts w:ascii="Times New Roman" w:hAnsi="Times New Roman" w:cs="Times New Roman"/>
          <w:sz w:val="24"/>
          <w:szCs w:val="24"/>
        </w:rPr>
        <w:t xml:space="preserve"> должности). </w:t>
      </w:r>
    </w:p>
    <w:p w:rsidR="00A325F4" w:rsidRPr="00F658DD" w:rsidRDefault="00A325F4" w:rsidP="00A325F4">
      <w:pPr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F658DD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Глава 2. Порядок проведения внутреннего анализа</w:t>
      </w:r>
      <w:r w:rsidRPr="00F658DD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br/>
        <w:t>коррупционных рисков</w:t>
      </w:r>
    </w:p>
    <w:p w:rsidR="00A325F4" w:rsidRPr="00F658DD" w:rsidRDefault="00A325F4" w:rsidP="00A325F4">
      <w:pPr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658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       2. Основанием для проведения внутреннего анализа </w:t>
      </w:r>
      <w:hyperlink r:id="rId4" w:anchor="z45" w:history="1">
        <w:r w:rsidRPr="00F658DD">
          <w:rPr>
            <w:rFonts w:ascii="Times New Roman" w:eastAsia="Times New Roman" w:hAnsi="Times New Roman" w:cs="Times New Roman"/>
            <w:spacing w:val="1"/>
            <w:sz w:val="24"/>
            <w:szCs w:val="24"/>
            <w:lang w:eastAsia="ru-RU"/>
          </w:rPr>
          <w:t>коррупционных рисков</w:t>
        </w:r>
      </w:hyperlink>
      <w:r w:rsidRPr="00F658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является решение руководителя директора Центра, при его отсутствии – лица, исполняющего его обязанности либо замещающего его должность.</w:t>
      </w:r>
    </w:p>
    <w:p w:rsidR="00A325F4" w:rsidRPr="00F658DD" w:rsidRDefault="00A325F4" w:rsidP="00A325F4">
      <w:pPr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F658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        3. Решение о проведении внутреннего анализа коррупционных рисков принимается, в том числе на основании результатов </w:t>
      </w:r>
      <w:hyperlink r:id="rId5" w:anchor="z7" w:history="1">
        <w:r w:rsidRPr="00F658DD">
          <w:rPr>
            <w:rFonts w:ascii="Times New Roman" w:eastAsia="Times New Roman" w:hAnsi="Times New Roman" w:cs="Times New Roman"/>
            <w:spacing w:val="1"/>
            <w:sz w:val="24"/>
            <w:szCs w:val="24"/>
            <w:lang w:eastAsia="ru-RU"/>
          </w:rPr>
          <w:t>антикоррупционного мониторинга</w:t>
        </w:r>
      </w:hyperlink>
      <w:r w:rsidRPr="00F658D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A325F4" w:rsidRPr="00F658DD" w:rsidRDefault="00A325F4" w:rsidP="00F658DD">
      <w:pPr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658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      4. Внутренний анализ коррупционных рисков проводится  лицом, уполномоченным на проведение внутреннего анализа коррупционных рисков, определяемым директором Центра, или создаваемой его решением рабочей группой.</w:t>
      </w:r>
    </w:p>
    <w:p w:rsidR="00A325F4" w:rsidRPr="00F658DD" w:rsidRDefault="00A325F4" w:rsidP="00F658DD">
      <w:pPr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658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    </w:t>
      </w:r>
      <w:r w:rsidR="00F658DD" w:rsidRPr="00F658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По решению директора Ц</w:t>
      </w:r>
      <w:r w:rsidRPr="00F658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ентра в состав рабочей группы привлекаются специалисты и (или) эксперты  противодействия коррупции.</w:t>
      </w:r>
    </w:p>
    <w:p w:rsidR="00A325F4" w:rsidRPr="00F658DD" w:rsidRDefault="00A325F4" w:rsidP="00F658DD">
      <w:pPr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658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     5. Объектом внутреннего анализа коррупционных рисков является деятельность  Центра  или работа отдельных подразделений.</w:t>
      </w:r>
    </w:p>
    <w:p w:rsidR="00A325F4" w:rsidRPr="00F658DD" w:rsidRDefault="00A325F4" w:rsidP="00F658DD">
      <w:pPr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658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     6. Решение о проведении внутреннего анализа коррупционных рисков содержит следующую информацию:</w:t>
      </w:r>
    </w:p>
    <w:p w:rsidR="00A325F4" w:rsidRPr="00F658DD" w:rsidRDefault="00A325F4" w:rsidP="00F658DD">
      <w:pPr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658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     1) наименование подразделения, деятельность которого подлежит внутреннему анализу коррупционных рисков;</w:t>
      </w:r>
    </w:p>
    <w:p w:rsidR="00A325F4" w:rsidRPr="00F658DD" w:rsidRDefault="00A325F4" w:rsidP="00A325F4">
      <w:pPr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658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     2) направление внутреннего анализа коррупционных рисков в соответствии с </w:t>
      </w:r>
      <w:hyperlink r:id="rId6" w:anchor="z18" w:history="1">
        <w:r w:rsidRPr="00F658DD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>пунктом 8</w:t>
        </w:r>
      </w:hyperlink>
      <w:r w:rsidRPr="00F658D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на</w:t>
      </w:r>
      <w:r w:rsidRPr="00F658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стоящих Типовых правил;</w:t>
      </w:r>
    </w:p>
    <w:p w:rsidR="00A325F4" w:rsidRPr="00F658DD" w:rsidRDefault="00A325F4" w:rsidP="00F658DD">
      <w:pPr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658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     3) о структурном подразделении, должностном лице (должностных лицах) или персональном составе рабочей группы, которая проводит внутренний анализ коррупционных рисков;</w:t>
      </w:r>
    </w:p>
    <w:p w:rsidR="00A325F4" w:rsidRPr="00F658DD" w:rsidRDefault="00A325F4" w:rsidP="00F658DD">
      <w:pPr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658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     4) период проведения внутреннего анализа коррупционных рисков;</w:t>
      </w:r>
    </w:p>
    <w:p w:rsidR="00A325F4" w:rsidRPr="00F658DD" w:rsidRDefault="00A325F4" w:rsidP="00F658DD">
      <w:pPr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658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     5) о должностном лице субъекта внутреннего анализа коррупционных рисков, на которое возлагается руководство, координация и ответственность за проведение внутреннего анализа коррупционных рисков и результаты работы.</w:t>
      </w:r>
    </w:p>
    <w:p w:rsidR="00A325F4" w:rsidRPr="00F658DD" w:rsidRDefault="00A325F4" w:rsidP="00F658DD">
      <w:pPr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658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     7. Периодичность проведения внутреннего анализа коррупционных рисков определяется субъектами внутреннего анализа коррупционных рисков.</w:t>
      </w:r>
    </w:p>
    <w:p w:rsidR="00A325F4" w:rsidRPr="00F658DD" w:rsidRDefault="00A325F4" w:rsidP="00F658DD">
      <w:pPr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658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     8. Внутренний анализ коррупционных рисков осуществляетс</w:t>
      </w:r>
      <w:r w:rsidR="00F658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</w:t>
      </w:r>
      <w:r w:rsidRPr="00F658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по следующим направлениям:</w:t>
      </w:r>
    </w:p>
    <w:p w:rsidR="00A325F4" w:rsidRPr="00F658DD" w:rsidRDefault="00A325F4" w:rsidP="00F658DD">
      <w:pPr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658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     1) выявление коррупционных рисков в нормативных правовых актах, затрагив</w:t>
      </w:r>
      <w:r w:rsidR="00F658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ающих деятельность Ц</w:t>
      </w:r>
      <w:r w:rsidRPr="00F658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ентра;</w:t>
      </w:r>
    </w:p>
    <w:p w:rsidR="00A325F4" w:rsidRPr="00F658DD" w:rsidRDefault="00A325F4" w:rsidP="00F658DD">
      <w:pPr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658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     2) выявление коррупционных рисков в организационно-управленч</w:t>
      </w:r>
      <w:r w:rsidR="00F658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еской деятельности  Ц</w:t>
      </w:r>
      <w:r w:rsidRPr="00F658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ентра.</w:t>
      </w:r>
    </w:p>
    <w:p w:rsidR="00A325F4" w:rsidRPr="00F658DD" w:rsidRDefault="00A325F4" w:rsidP="00F658DD">
      <w:pPr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658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     9. В нормативных правовых актах, затрагивающих деятельность</w:t>
      </w:r>
      <w:r w:rsidR="00F658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Центра</w:t>
      </w:r>
      <w:r w:rsidRPr="00F658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 выявляются дискреционные полномочия и нормы, способствующие совершению коррупционных правонарушений.</w:t>
      </w:r>
    </w:p>
    <w:p w:rsidR="00A325F4" w:rsidRPr="00F658DD" w:rsidRDefault="00A325F4" w:rsidP="00F658DD">
      <w:pPr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658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     10. Под организационно-управленческой деятельностью понимаются вопросы:</w:t>
      </w:r>
    </w:p>
    <w:p w:rsidR="00A325F4" w:rsidRPr="00F658DD" w:rsidRDefault="00A325F4" w:rsidP="00F658DD">
      <w:pPr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658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     1) управления персоналом, в том числе сменяемость кадров;</w:t>
      </w:r>
    </w:p>
    <w:p w:rsidR="00A325F4" w:rsidRPr="00F658DD" w:rsidRDefault="00A325F4" w:rsidP="00F658DD">
      <w:pPr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658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     2) урегулирования конфликта интересов;</w:t>
      </w:r>
    </w:p>
    <w:p w:rsidR="00A325F4" w:rsidRPr="00F658DD" w:rsidRDefault="00A325F4" w:rsidP="00A325F4">
      <w:pPr>
        <w:spacing w:after="36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658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>      3) оказания государственных услуг;</w:t>
      </w:r>
    </w:p>
    <w:p w:rsidR="00A325F4" w:rsidRPr="00F658DD" w:rsidRDefault="00A325F4" w:rsidP="00F658DD">
      <w:pPr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658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     4) реализации разрешительных функций;</w:t>
      </w:r>
    </w:p>
    <w:p w:rsidR="00A325F4" w:rsidRPr="00F658DD" w:rsidRDefault="00A325F4" w:rsidP="00F658DD">
      <w:pPr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658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     5) реализации контрольных функций;</w:t>
      </w:r>
    </w:p>
    <w:p w:rsidR="00A325F4" w:rsidRPr="00F658DD" w:rsidRDefault="00A325F4" w:rsidP="00F658DD">
      <w:pPr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658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     6) иные вопросы, вытекающие из организационно-управленч</w:t>
      </w:r>
      <w:r w:rsidR="00F658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еской деятельности  Ц</w:t>
      </w:r>
      <w:r w:rsidRPr="00F658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ентра.</w:t>
      </w:r>
    </w:p>
    <w:p w:rsidR="00A325F4" w:rsidRPr="00F658DD" w:rsidRDefault="00A325F4" w:rsidP="00F658DD">
      <w:pPr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658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     11. Источниками информации для проведения внутреннего анализа коррупционных рисков являются:</w:t>
      </w:r>
    </w:p>
    <w:p w:rsidR="00A325F4" w:rsidRPr="00F658DD" w:rsidRDefault="00A325F4" w:rsidP="00F658DD">
      <w:pPr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658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1) нормативные правовые акты, затрагивающие деятельность центра;</w:t>
      </w:r>
    </w:p>
    <w:p w:rsidR="00A325F4" w:rsidRPr="00F658DD" w:rsidRDefault="00A325F4" w:rsidP="00F658DD">
      <w:pPr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658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2) результаты проверок, ранее проведенных государственными органами в отношении  центра;</w:t>
      </w:r>
    </w:p>
    <w:p w:rsidR="00A325F4" w:rsidRPr="00F658DD" w:rsidRDefault="00A325F4" w:rsidP="00F658DD">
      <w:pPr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658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3) публикации в средствах массовой информации;</w:t>
      </w:r>
    </w:p>
    <w:p w:rsidR="00A325F4" w:rsidRPr="00F658DD" w:rsidRDefault="00A325F4" w:rsidP="00F658DD">
      <w:pPr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658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4) обращения физических и юридических лиц, поступившие в центр;</w:t>
      </w:r>
    </w:p>
    <w:p w:rsidR="00A325F4" w:rsidRPr="00F658DD" w:rsidRDefault="00A325F4" w:rsidP="00F658DD">
      <w:pPr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658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5) акты прокурорского надзора;</w:t>
      </w:r>
    </w:p>
    <w:p w:rsidR="00A325F4" w:rsidRPr="00F658DD" w:rsidRDefault="00A325F4" w:rsidP="00F658DD">
      <w:pPr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658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6) судебные акты;</w:t>
      </w:r>
    </w:p>
    <w:p w:rsidR="00A325F4" w:rsidRPr="00F658DD" w:rsidRDefault="00A325F4" w:rsidP="00F658DD">
      <w:pPr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658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7) иные сведения, предоставление которых допускается законодательством Республики Крым и РФ.</w:t>
      </w:r>
    </w:p>
    <w:p w:rsidR="00A325F4" w:rsidRPr="00F658DD" w:rsidRDefault="00A325F4" w:rsidP="00F658DD">
      <w:pPr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658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     12. По результатам внутреннего анализа коррупционных рисков готовится аналитическая справка, содержащая:</w:t>
      </w:r>
    </w:p>
    <w:p w:rsidR="00A325F4" w:rsidRPr="00F658DD" w:rsidRDefault="00A325F4" w:rsidP="00F658DD">
      <w:pPr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658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     1) информацию о выявленных коррупционных рисках;</w:t>
      </w:r>
    </w:p>
    <w:p w:rsidR="00A325F4" w:rsidRPr="00F658DD" w:rsidRDefault="00A325F4" w:rsidP="00F658DD">
      <w:pPr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658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     2) рекомендации по их устранению;</w:t>
      </w:r>
    </w:p>
    <w:p w:rsidR="00A325F4" w:rsidRPr="00F658DD" w:rsidRDefault="00A325F4" w:rsidP="00F658DD">
      <w:pPr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658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     3) сроки реализации рекомендации по устранению выявленных коррупционных рисков.</w:t>
      </w:r>
    </w:p>
    <w:p w:rsidR="00A325F4" w:rsidRPr="00F658DD" w:rsidRDefault="00A325F4" w:rsidP="00F658DD">
      <w:pPr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658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      13. Аналитическая справка согласовывается лицами, проводившими внутренний анализ коррупционных рисков, </w:t>
      </w:r>
      <w:proofErr w:type="gramStart"/>
      <w:r w:rsidRPr="00F658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руководителем</w:t>
      </w:r>
      <w:proofErr w:type="gramEnd"/>
      <w:r w:rsidRPr="00F658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    в деятельности которого проведен анализ коррупционных рисков,      и подписывается должностным лицом.</w:t>
      </w:r>
    </w:p>
    <w:p w:rsidR="00A325F4" w:rsidRPr="00F658DD" w:rsidRDefault="00A325F4" w:rsidP="00F658DD">
      <w:pPr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658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     14. Аналитическая справка с рекомендациями по устранению выявленных коррупционных риск</w:t>
      </w:r>
      <w:r w:rsidR="004B3CEF" w:rsidRPr="00F658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ов вносится председателем комиссии</w:t>
      </w:r>
      <w:r w:rsidRPr="00F658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внутреннего анализа коррупционных рисков для рассмотрения и принятия мер.</w:t>
      </w:r>
    </w:p>
    <w:p w:rsidR="00A325F4" w:rsidRPr="00F658DD" w:rsidRDefault="00A325F4" w:rsidP="00F658DD">
      <w:pPr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658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     15. Результаты внутреннего анализа коррупционных рисков и информация о принятых (принимаемых) мерах по устранению коррупционных рисков размещаются на интернет-ресурсе субъекта внутреннего анализа коррупционных рисков.</w:t>
      </w:r>
    </w:p>
    <w:p w:rsidR="00A325F4" w:rsidRPr="00F658DD" w:rsidRDefault="00A325F4" w:rsidP="00A325F4">
      <w:pPr>
        <w:spacing w:after="36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658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     16. Допускается публичное обсуждение результатов внутреннего анализа коррупционных рисков, в том числе на заседаниях коллегиальных, консультативно-совещательных органов по противодейст</w:t>
      </w:r>
      <w:r w:rsidR="004B3CEF" w:rsidRPr="00F658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вию коррупции </w:t>
      </w:r>
    </w:p>
    <w:p w:rsidR="004B3CEF" w:rsidRPr="00F658DD" w:rsidRDefault="004B3CEF" w:rsidP="00A325F4">
      <w:pPr>
        <w:spacing w:after="36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2922D6" w:rsidRPr="00F658DD" w:rsidRDefault="002922D6">
      <w:pPr>
        <w:rPr>
          <w:sz w:val="24"/>
          <w:szCs w:val="24"/>
        </w:rPr>
      </w:pPr>
    </w:p>
    <w:sectPr w:rsidR="002922D6" w:rsidRPr="00F658DD" w:rsidSect="00292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325F4"/>
    <w:rsid w:val="002922D6"/>
    <w:rsid w:val="004B3CEF"/>
    <w:rsid w:val="00557B77"/>
    <w:rsid w:val="00955075"/>
    <w:rsid w:val="00A325F4"/>
    <w:rsid w:val="00BD5BD3"/>
    <w:rsid w:val="00D55779"/>
    <w:rsid w:val="00DD4FA6"/>
    <w:rsid w:val="00E377FC"/>
    <w:rsid w:val="00F63DAA"/>
    <w:rsid w:val="00F65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25F4"/>
    <w:rPr>
      <w:color w:val="0000FF"/>
      <w:u w:val="single"/>
    </w:rPr>
  </w:style>
  <w:style w:type="paragraph" w:styleId="a4">
    <w:name w:val="No Spacing"/>
    <w:uiPriority w:val="1"/>
    <w:qFormat/>
    <w:rsid w:val="00A325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V1600014441" TargetMode="External"/><Relationship Id="rId5" Type="http://schemas.openxmlformats.org/officeDocument/2006/relationships/hyperlink" Target="http://adilet.zan.kz/rus/docs/Z1500000410" TargetMode="External"/><Relationship Id="rId4" Type="http://schemas.openxmlformats.org/officeDocument/2006/relationships/hyperlink" Target="http://adilet.zan.kz/rus/docs/Z15000004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2018-05-21T09:00:00Z</dcterms:created>
  <dcterms:modified xsi:type="dcterms:W3CDTF">2020-02-10T11:49:00Z</dcterms:modified>
</cp:coreProperties>
</file>